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28430C" w14:textId="3FA640FA" w:rsidR="006F0120" w:rsidRDefault="00CF1EBA">
      <w:pPr>
        <w:spacing w:line="580" w:lineRule="exact"/>
        <w:jc w:val="center"/>
        <w:rPr>
          <w:rFonts w:ascii="Times New Roman" w:eastAsia="方正小标宋_GBK" w:hAnsi="Times New Roman" w:cs="方正小标宋_GBK"/>
          <w:sz w:val="44"/>
          <w:szCs w:val="44"/>
        </w:rPr>
      </w:pPr>
      <w:bookmarkStart w:id="0" w:name="_GoBack"/>
      <w:r>
        <w:rPr>
          <w:rFonts w:ascii="Times New Roman" w:eastAsia="方正小标宋_GBK" w:hAnsi="Times New Roman" w:cs="方正小标宋_GBK" w:hint="eastAsia"/>
          <w:sz w:val="44"/>
          <w:szCs w:val="44"/>
        </w:rPr>
        <w:t>【文字解读】</w:t>
      </w:r>
      <w:r w:rsidR="000872C7">
        <w:rPr>
          <w:rFonts w:ascii="Times New Roman" w:eastAsia="方正小标宋_GBK" w:hAnsi="Times New Roman" w:cs="方正小标宋_GBK" w:hint="eastAsia"/>
          <w:sz w:val="44"/>
          <w:szCs w:val="44"/>
        </w:rPr>
        <w:t>《宿豫区推进企业上市三年行动计划（</w:t>
      </w:r>
      <w:r w:rsidR="000872C7">
        <w:rPr>
          <w:rFonts w:ascii="Times New Roman" w:eastAsia="方正小标宋_GBK" w:hAnsi="Times New Roman" w:cs="方正小标宋_GBK" w:hint="eastAsia"/>
          <w:sz w:val="44"/>
          <w:szCs w:val="44"/>
        </w:rPr>
        <w:t>2025-2027</w:t>
      </w:r>
      <w:r w:rsidR="000872C7">
        <w:rPr>
          <w:rFonts w:ascii="Times New Roman" w:eastAsia="方正小标宋_GBK" w:hAnsi="Times New Roman" w:cs="方正小标宋_GBK" w:hint="eastAsia"/>
          <w:sz w:val="44"/>
          <w:szCs w:val="44"/>
        </w:rPr>
        <w:t>年）》</w:t>
      </w:r>
      <w:r>
        <w:rPr>
          <w:rFonts w:ascii="Times New Roman" w:eastAsia="方正小标宋_GBK" w:hAnsi="Times New Roman" w:cs="方正小标宋_GBK" w:hint="eastAsia"/>
          <w:sz w:val="44"/>
          <w:szCs w:val="44"/>
        </w:rPr>
        <w:t>政策</w:t>
      </w:r>
      <w:r w:rsidR="000872C7">
        <w:rPr>
          <w:rFonts w:ascii="Times New Roman" w:eastAsia="方正小标宋_GBK" w:hAnsi="Times New Roman" w:cs="方正小标宋_GBK" w:hint="eastAsia"/>
          <w:sz w:val="44"/>
          <w:szCs w:val="44"/>
        </w:rPr>
        <w:t>解读</w:t>
      </w:r>
    </w:p>
    <w:bookmarkEnd w:id="0"/>
    <w:p w14:paraId="245D7B38" w14:textId="77777777" w:rsidR="006F0120" w:rsidRDefault="006F0120">
      <w:pPr>
        <w:spacing w:line="560" w:lineRule="exact"/>
        <w:ind w:firstLineChars="200" w:firstLine="640"/>
        <w:rPr>
          <w:rFonts w:ascii="Times New Roman" w:eastAsia="方正黑体_GBK" w:hAnsi="Times New Roman" w:cs="方正黑体_GBK"/>
          <w:sz w:val="32"/>
          <w:szCs w:val="32"/>
        </w:rPr>
      </w:pPr>
    </w:p>
    <w:p w14:paraId="75925436" w14:textId="77777777" w:rsidR="006F0120" w:rsidRDefault="000872C7">
      <w:pPr>
        <w:spacing w:line="560" w:lineRule="exact"/>
        <w:ind w:firstLineChars="200" w:firstLine="640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一、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背景依据</w:t>
      </w:r>
    </w:p>
    <w:p w14:paraId="5AC20B9F" w14:textId="77777777" w:rsidR="006F0120" w:rsidRDefault="000872C7">
      <w:pPr>
        <w:overflowPunct w:val="0"/>
        <w:autoSpaceDE w:val="0"/>
        <w:spacing w:line="53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为全面落实国家、省关于进一步深化资本市场改革、提高上市公司质量的相关要求，落实市委赋予宿豫“向高向新向上”发展目标，抢抓资本市场改革发展机遇，着力破解企业上市瓶颈，健全企业上市培育、服务、保障全链条工作机制，加速推动优质企业境内外上市，全力构建规模持续壮大、结构不断优化、活力充分迸发的多层次资本市场“宿豫板块”，为区域经济高质量发展注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入强劲资本动能，</w:t>
      </w:r>
      <w:r>
        <w:rPr>
          <w:rFonts w:ascii="Times New Roman" w:eastAsia="方正仿宋_GBK" w:hAnsi="Times New Roman"/>
          <w:color w:val="000000"/>
          <w:sz w:val="32"/>
          <w:szCs w:val="32"/>
        </w:rPr>
        <w:t>特制定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《宿豫区推进企业上市三年行动计划（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2025-2027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年）》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（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以下简称《行动计划》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）</w:t>
      </w:r>
      <w:r>
        <w:rPr>
          <w:rFonts w:ascii="Times New Roman" w:eastAsia="方正仿宋_GBK" w:hAnsi="Times New Roman"/>
          <w:color w:val="000000"/>
          <w:sz w:val="32"/>
          <w:szCs w:val="32"/>
        </w:rPr>
        <w:t>。</w:t>
      </w:r>
    </w:p>
    <w:p w14:paraId="7597A7F6" w14:textId="77777777" w:rsidR="006F0120" w:rsidRDefault="000872C7">
      <w:pPr>
        <w:spacing w:line="560" w:lineRule="exact"/>
        <w:ind w:firstLineChars="200" w:firstLine="640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二、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目标任务</w:t>
      </w:r>
    </w:p>
    <w:p w14:paraId="09A6AB64" w14:textId="77777777" w:rsidR="006F0120" w:rsidRDefault="000872C7">
      <w:pPr>
        <w:overflowPunct w:val="0"/>
        <w:autoSpaceDE w:val="0"/>
        <w:spacing w:line="53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楷体_GBK" w:hAnsi="Times New Roman"/>
          <w:color w:val="000000"/>
          <w:sz w:val="32"/>
          <w:szCs w:val="32"/>
        </w:rPr>
        <w:t>1</w:t>
      </w:r>
      <w:r>
        <w:rPr>
          <w:rFonts w:ascii="Times New Roman" w:eastAsia="方正楷体_GBK" w:hAnsi="Times New Roman"/>
          <w:color w:val="000000"/>
          <w:sz w:val="32"/>
          <w:szCs w:val="32"/>
        </w:rPr>
        <w:t>．</w:t>
      </w:r>
      <w:r>
        <w:rPr>
          <w:rFonts w:ascii="方正楷体_GBK" w:eastAsia="方正楷体_GBK" w:hAnsi="Times New Roman"/>
          <w:color w:val="000000"/>
          <w:sz w:val="32"/>
          <w:szCs w:val="32"/>
        </w:rPr>
        <w:t>上市企业数量持续增长。</w:t>
      </w:r>
      <w:r>
        <w:rPr>
          <w:rFonts w:ascii="方正仿宋_GBK" w:eastAsia="方正仿宋_GBK" w:hAnsi="Times New Roman"/>
          <w:color w:val="000000"/>
          <w:sz w:val="32"/>
          <w:szCs w:val="32"/>
        </w:rPr>
        <w:t>力争到</w:t>
      </w:r>
      <w:r>
        <w:rPr>
          <w:rFonts w:ascii="Times New Roman" w:eastAsia="方正仿宋_GBK" w:hAnsi="Times New Roman"/>
          <w:color w:val="000000"/>
          <w:sz w:val="32"/>
          <w:szCs w:val="32"/>
        </w:rPr>
        <w:t>2027</w:t>
      </w:r>
      <w:r>
        <w:rPr>
          <w:rFonts w:ascii="方正仿宋_GBK" w:eastAsia="方正仿宋_GBK" w:hAnsi="Times New Roman"/>
          <w:color w:val="000000"/>
          <w:sz w:val="32"/>
          <w:szCs w:val="32"/>
        </w:rPr>
        <w:t>年末，全区新增境内外上市企业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2</w:t>
      </w:r>
      <w:r>
        <w:rPr>
          <w:rFonts w:ascii="方正仿宋_GBK" w:eastAsia="方正仿宋_GBK" w:hAnsi="Times New Roman"/>
          <w:color w:val="000000"/>
          <w:sz w:val="32"/>
          <w:szCs w:val="32"/>
        </w:rPr>
        <w:t>家以上，境内外上市企业总数达到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8</w:t>
      </w:r>
      <w:r>
        <w:rPr>
          <w:rFonts w:ascii="方正仿宋_GBK" w:eastAsia="方正仿宋_GBK" w:hAnsi="Times New Roman"/>
          <w:color w:val="000000"/>
          <w:sz w:val="32"/>
          <w:szCs w:val="32"/>
        </w:rPr>
        <w:t>家以上。上市企业科技含量和核心竞争力显著增强，在苏北地区保持上市企业数量领先地位，区域资本市场影响力持续提升。</w:t>
      </w:r>
    </w:p>
    <w:p w14:paraId="399F67D5" w14:textId="77777777" w:rsidR="006F0120" w:rsidRDefault="000872C7">
      <w:pPr>
        <w:overflowPunct w:val="0"/>
        <w:autoSpaceDE w:val="0"/>
        <w:spacing w:line="530" w:lineRule="exact"/>
        <w:ind w:firstLineChars="200" w:firstLine="640"/>
        <w:rPr>
          <w:rFonts w:ascii="Times New Roman" w:hAnsi="Times New Roman"/>
          <w:color w:val="000000"/>
          <w:szCs w:val="21"/>
        </w:rPr>
      </w:pPr>
      <w:r>
        <w:rPr>
          <w:rFonts w:ascii="Times New Roman" w:eastAsia="方正楷体_GBK" w:hAnsi="Times New Roman"/>
          <w:color w:val="000000"/>
          <w:sz w:val="32"/>
          <w:szCs w:val="32"/>
        </w:rPr>
        <w:t>2</w:t>
      </w:r>
      <w:r>
        <w:rPr>
          <w:rFonts w:ascii="Times New Roman" w:eastAsia="方正楷体_GBK" w:hAnsi="Times New Roman"/>
          <w:color w:val="000000"/>
          <w:sz w:val="32"/>
          <w:szCs w:val="32"/>
        </w:rPr>
        <w:t>．</w:t>
      </w:r>
      <w:r>
        <w:rPr>
          <w:rFonts w:ascii="方正楷体_GBK" w:eastAsia="方正楷体_GBK" w:hAnsi="Times New Roman"/>
          <w:color w:val="000000"/>
          <w:sz w:val="32"/>
          <w:szCs w:val="32"/>
        </w:rPr>
        <w:t>上市后备梯队建设更加厚实有效。</w:t>
      </w:r>
      <w:r>
        <w:rPr>
          <w:rFonts w:ascii="方正仿宋_GBK" w:eastAsia="方正仿宋_GBK" w:hAnsi="Times New Roman"/>
          <w:color w:val="000000"/>
          <w:sz w:val="32"/>
          <w:szCs w:val="32"/>
        </w:rPr>
        <w:t>重点围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绕“专精特新”、高新技术、“瞪羚”、“独角兽”等高成长性企业，</w:t>
      </w:r>
      <w:r>
        <w:rPr>
          <w:rFonts w:ascii="方正仿宋_GBK" w:eastAsia="方正仿宋_GBK" w:hAnsi="Times New Roman"/>
          <w:color w:val="000000"/>
          <w:sz w:val="32"/>
          <w:szCs w:val="32"/>
        </w:rPr>
        <w:t>实施精准培育。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动态调整上市后备企业名单，建立种子层上市后备梯队。</w:t>
      </w:r>
      <w:proofErr w:type="gramStart"/>
      <w:r>
        <w:rPr>
          <w:rFonts w:ascii="方正仿宋_GBK" w:eastAsia="方正仿宋_GBK" w:hAnsi="Times New Roman"/>
          <w:color w:val="000000"/>
          <w:sz w:val="32"/>
          <w:szCs w:val="32"/>
        </w:rPr>
        <w:t>处于股改阶段</w:t>
      </w:r>
      <w:proofErr w:type="gramEnd"/>
      <w:r>
        <w:rPr>
          <w:rFonts w:ascii="方正仿宋_GBK" w:eastAsia="方正仿宋_GBK" w:hAnsi="Times New Roman"/>
          <w:color w:val="000000"/>
          <w:sz w:val="32"/>
          <w:szCs w:val="32"/>
        </w:rPr>
        <w:t>企业不少于</w:t>
      </w:r>
      <w:r>
        <w:rPr>
          <w:rFonts w:ascii="Times New Roman" w:eastAsia="方正仿宋_GBK" w:hAnsi="Times New Roman"/>
          <w:color w:val="000000"/>
          <w:sz w:val="32"/>
          <w:szCs w:val="32"/>
        </w:rPr>
        <w:t>2</w:t>
      </w:r>
      <w:r>
        <w:rPr>
          <w:rFonts w:ascii="方正仿宋_GBK" w:eastAsia="方正仿宋_GBK" w:hAnsi="Times New Roman"/>
          <w:color w:val="000000"/>
          <w:sz w:val="32"/>
          <w:szCs w:val="32"/>
        </w:rPr>
        <w:t>家，处于辅导备案及提交</w:t>
      </w:r>
      <w:r>
        <w:rPr>
          <w:rFonts w:ascii="Times New Roman" w:eastAsia="方正仿宋_GBK" w:hAnsi="Times New Roman"/>
          <w:color w:val="000000"/>
          <w:sz w:val="32"/>
          <w:szCs w:val="32"/>
        </w:rPr>
        <w:t>IPO</w:t>
      </w:r>
      <w:r>
        <w:rPr>
          <w:rFonts w:ascii="方正仿宋_GBK" w:eastAsia="方正仿宋_GBK" w:hAnsi="Times New Roman"/>
          <w:color w:val="000000"/>
          <w:sz w:val="32"/>
          <w:szCs w:val="32"/>
        </w:rPr>
        <w:t>申请阶段企业不少于</w:t>
      </w:r>
      <w:r>
        <w:rPr>
          <w:rFonts w:ascii="Times New Roman" w:eastAsia="方正仿宋_GBK" w:hAnsi="Times New Roman"/>
          <w:color w:val="000000"/>
          <w:sz w:val="32"/>
          <w:szCs w:val="32"/>
        </w:rPr>
        <w:t>2</w:t>
      </w:r>
      <w:r>
        <w:rPr>
          <w:rFonts w:ascii="方正仿宋_GBK" w:eastAsia="方正仿宋_GBK" w:hAnsi="Times New Roman"/>
          <w:color w:val="000000"/>
          <w:sz w:val="32"/>
          <w:szCs w:val="32"/>
        </w:rPr>
        <w:t>家，形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成“培育一批、股改一批、辅导一批、申报一批、上市一批”的梯</w:t>
      </w:r>
      <w:r>
        <w:rPr>
          <w:rFonts w:ascii="方正仿宋_GBK" w:eastAsia="方正仿宋_GBK" w:hAnsi="Times New Roman"/>
          <w:color w:val="000000"/>
          <w:sz w:val="32"/>
          <w:szCs w:val="32"/>
        </w:rPr>
        <w:t>次推进格局，</w:t>
      </w:r>
      <w:r>
        <w:rPr>
          <w:rFonts w:ascii="方正仿宋_GBK" w:eastAsia="方正仿宋_GBK" w:hAnsi="Times New Roman"/>
          <w:color w:val="000000"/>
          <w:sz w:val="32"/>
          <w:szCs w:val="32"/>
        </w:rPr>
        <w:lastRenderedPageBreak/>
        <w:t>确保上市后备资源充足、接续有力。</w:t>
      </w:r>
    </w:p>
    <w:p w14:paraId="5E97404C" w14:textId="77777777" w:rsidR="006F0120" w:rsidRDefault="000872C7">
      <w:pPr>
        <w:spacing w:line="560" w:lineRule="exact"/>
        <w:ind w:firstLineChars="200" w:firstLine="640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三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、主要内容</w:t>
      </w:r>
    </w:p>
    <w:p w14:paraId="6242B546" w14:textId="77777777" w:rsidR="006F0120" w:rsidRDefault="000872C7">
      <w:pPr>
        <w:spacing w:line="56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z w:val="32"/>
          <w:szCs w:val="32"/>
        </w:rPr>
        <w:t>《行动计划》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主要通过八项工作举措和三项工作保障加强上市服务和机制保障。</w:t>
      </w:r>
    </w:p>
    <w:p w14:paraId="63784F08" w14:textId="77777777" w:rsidR="006F0120" w:rsidRDefault="000872C7">
      <w:pPr>
        <w:spacing w:line="560" w:lineRule="exact"/>
        <w:ind w:firstLineChars="200" w:firstLine="640"/>
        <w:rPr>
          <w:rFonts w:ascii="方正楷体_GBK" w:eastAsia="方正楷体_GBK" w:hAnsi="方正楷体_GBK" w:cs="方正楷体_GBK"/>
          <w:color w:val="000000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color w:val="000000"/>
          <w:sz w:val="32"/>
          <w:szCs w:val="32"/>
        </w:rPr>
        <w:t>（一）工作举措</w:t>
      </w:r>
    </w:p>
    <w:p w14:paraId="26524562" w14:textId="77777777" w:rsidR="006F0120" w:rsidRDefault="000872C7">
      <w:pPr>
        <w:spacing w:line="56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1.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强化上市源头招引与储备。将企业上市潜力评估深度融入招商引资工作，在项目洽谈阶段即关注其资本运作规划。聚焦区域主导产业、战略性新兴产业和未来产业，围绕各资本市场板块定位与准入标准，靶向招引具有</w:t>
      </w:r>
      <w:proofErr w:type="gramStart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显著科创属性</w:t>
      </w:r>
      <w:proofErr w:type="gramEnd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、高成长潜力、清晰上市路径的优质项目。每年成功招引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2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家以上具有明确上市潜力和时间表的优质企业落户。</w:t>
      </w:r>
    </w:p>
    <w:p w14:paraId="568630B4" w14:textId="77777777" w:rsidR="006F0120" w:rsidRDefault="000872C7">
      <w:pPr>
        <w:spacing w:line="56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2.</w:t>
      </w:r>
      <w:proofErr w:type="gramStart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深化科创</w:t>
      </w:r>
      <w:proofErr w:type="gramEnd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企业梯度培育。重点培育在新一代信息技术、高端装备、新材料、生物医药等“硬科技”领域突破关键核心技术、拥有自主知识产权的企业。集聚各</w:t>
      </w:r>
      <w:proofErr w:type="gramStart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类政策</w:t>
      </w:r>
      <w:proofErr w:type="gramEnd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要素资源，重点对“专精特新”、“瞪羚”、“独角兽”（潜在）、制造业单项冠军企业实施“小升</w:t>
      </w:r>
      <w:proofErr w:type="gramStart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规</w:t>
      </w:r>
      <w:proofErr w:type="gramEnd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、</w:t>
      </w:r>
      <w:proofErr w:type="gramStart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规</w:t>
      </w:r>
      <w:proofErr w:type="gramEnd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改股、股上市”滚动培育计划，推动企业加速成长、提升能级，不断优化上市后备企业结构，壮大“腰部”力量。</w:t>
      </w:r>
    </w:p>
    <w:p w14:paraId="52DC413D" w14:textId="77777777" w:rsidR="006F0120" w:rsidRDefault="000872C7">
      <w:pPr>
        <w:spacing w:line="56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3.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实施后备企业动态管理与分层培育。按照“培育一批、股改一批、辅导一批、申报一批、上市一批”思路，聚焦全区“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3+3+X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”现代产业体系，定期摸排筛选符合国家产业政策、主营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业务突出、核心竞争力强、治理规范、有明确上市意愿的企业。</w:t>
      </w:r>
    </w:p>
    <w:p w14:paraId="74B89D74" w14:textId="77777777" w:rsidR="006F0120" w:rsidRDefault="000872C7">
      <w:pPr>
        <w:spacing w:line="56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4.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提供全流程跟踪服务。对拟上市企业，制定上市时间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lastRenderedPageBreak/>
        <w:t>表、路线图，聚焦帮扶政策，做好跟踪辅导，及时掌握企业上市进度。对初具上市条件的企业，指导搭建内部上市工作服务小组、对接优质中介机构，制定上市路径规划，尽早启动上市工作。</w:t>
      </w:r>
    </w:p>
    <w:p w14:paraId="6D785197" w14:textId="77777777" w:rsidR="006F0120" w:rsidRDefault="000872C7">
      <w:pPr>
        <w:spacing w:line="56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5.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精准指导企业上市板块选择。坚持“境内优先、境外补充”原则，深入分析企业所属行业、科技属性、发展阶段、财务状况、融资需求等因素，结合境内外各板块（主板、创业板、</w:t>
      </w:r>
      <w:proofErr w:type="gramStart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科创板</w:t>
      </w:r>
      <w:proofErr w:type="gramEnd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、北交所、</w:t>
      </w:r>
      <w:proofErr w:type="gramStart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港交所</w:t>
      </w:r>
      <w:proofErr w:type="gramEnd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等）的差异化定位和要求，“</w:t>
      </w:r>
      <w:proofErr w:type="gramStart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一</w:t>
      </w:r>
      <w:proofErr w:type="gramEnd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企</w:t>
      </w:r>
      <w:proofErr w:type="gramStart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一</w:t>
      </w:r>
      <w:proofErr w:type="gramEnd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策”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提供专业化的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板块选择建议与路径规划。</w:t>
      </w:r>
    </w:p>
    <w:p w14:paraId="3E770B4B" w14:textId="77777777" w:rsidR="006F0120" w:rsidRDefault="000872C7">
      <w:pPr>
        <w:spacing w:line="56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6.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加强企业上市宣传和培训工作。根据企业对接资本市场所处的不同阶段，有针对性开展辅导培训服务。</w:t>
      </w:r>
    </w:p>
    <w:p w14:paraId="5096E8E0" w14:textId="77777777" w:rsidR="006F0120" w:rsidRDefault="000872C7">
      <w:pPr>
        <w:spacing w:line="56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7.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拓宽多元化投融资等渠道。充分发挥市区两级政府产业引导基金作用，带动更多社会资本投向拟上市企业。引导各类产业投资基金关注拟上市企业，突出基金在企业上市过程中资源引导、价值发现功能。</w:t>
      </w:r>
    </w:p>
    <w:p w14:paraId="3FA4B8B8" w14:textId="77777777" w:rsidR="006F0120" w:rsidRDefault="000872C7">
      <w:pPr>
        <w:spacing w:line="56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8.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发挥优质中介机构关键作用。积极引进实力强、信誉好、执业经验丰富的头部券商、会计师事务所、律师事务所等中介机构在宿</w:t>
      </w:r>
      <w:proofErr w:type="gramStart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豫设立</w:t>
      </w:r>
      <w:proofErr w:type="gramEnd"/>
      <w:r>
        <w:rPr>
          <w:rFonts w:ascii="Times New Roman" w:eastAsia="方正仿宋_GBK" w:hAnsi="Times New Roman" w:hint="eastAsia"/>
          <w:color w:val="000000"/>
          <w:sz w:val="32"/>
          <w:szCs w:val="32"/>
        </w:rPr>
        <w:t>分支机构或深耕本地市场。</w:t>
      </w:r>
    </w:p>
    <w:p w14:paraId="7B1FCF3B" w14:textId="77777777" w:rsidR="006F0120" w:rsidRDefault="000872C7">
      <w:pPr>
        <w:spacing w:line="560" w:lineRule="exact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color w:val="000000"/>
          <w:sz w:val="32"/>
          <w:szCs w:val="32"/>
        </w:rPr>
        <w:t>（二）工作保障。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包括提升政务服务效能与包容审慎监管、加强部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门协同联动、压实工作责任三个方面。</w:t>
      </w:r>
    </w:p>
    <w:p w14:paraId="301AE2D0" w14:textId="77777777" w:rsidR="006F0120" w:rsidRDefault="000872C7">
      <w:pPr>
        <w:spacing w:line="560" w:lineRule="exact"/>
        <w:ind w:firstLineChars="200" w:firstLine="640"/>
        <w:rPr>
          <w:rFonts w:ascii="Times New Roman" w:eastAsia="方正黑体_GBK" w:hAnsi="Times New Roman" w:cs="方正黑体_GBK"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sz w:val="32"/>
          <w:szCs w:val="32"/>
        </w:rPr>
        <w:t>四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、</w:t>
      </w:r>
      <w:r>
        <w:rPr>
          <w:rFonts w:ascii="Times New Roman" w:eastAsia="方正黑体_GBK" w:hAnsi="Times New Roman" w:cs="方正黑体_GBK" w:hint="eastAsia"/>
          <w:sz w:val="32"/>
          <w:szCs w:val="32"/>
        </w:rPr>
        <w:t>解决的问题</w:t>
      </w:r>
    </w:p>
    <w:p w14:paraId="0E099177" w14:textId="77777777" w:rsidR="006F0120" w:rsidRDefault="000872C7">
      <w:pPr>
        <w:pStyle w:val="a4"/>
        <w:widowControl/>
        <w:spacing w:beforeAutospacing="0" w:afterAutospacing="0" w:line="560" w:lineRule="exact"/>
        <w:ind w:firstLineChars="200" w:firstLine="640"/>
        <w:jc w:val="both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z w:val="32"/>
          <w:szCs w:val="32"/>
        </w:rPr>
        <w:t>《行动计划》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通过细化分解上市任务，保障落实工作举措，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加速推动优质企业抢抓资本市场改革发展机遇，为区域经济高质量发展注入强劲资本动能。</w:t>
      </w:r>
    </w:p>
    <w:sectPr w:rsidR="006F01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FA9F14" w14:textId="77777777" w:rsidR="000872C7" w:rsidRDefault="000872C7" w:rsidP="00CF1EBA">
      <w:r>
        <w:separator/>
      </w:r>
    </w:p>
  </w:endnote>
  <w:endnote w:type="continuationSeparator" w:id="0">
    <w:p w14:paraId="64A01B96" w14:textId="77777777" w:rsidR="000872C7" w:rsidRDefault="000872C7" w:rsidP="00CF1E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space">
    <w:altName w:val="Segoe Print"/>
    <w:charset w:val="00"/>
    <w:family w:val="auto"/>
    <w:pitch w:val="default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FDDE35" w14:textId="77777777" w:rsidR="000872C7" w:rsidRDefault="000872C7" w:rsidP="00CF1EBA">
      <w:r>
        <w:separator/>
      </w:r>
    </w:p>
  </w:footnote>
  <w:footnote w:type="continuationSeparator" w:id="0">
    <w:p w14:paraId="2FE3D482" w14:textId="77777777" w:rsidR="000872C7" w:rsidRDefault="000872C7" w:rsidP="00CF1E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120"/>
    <w:rsid w:val="000872C7"/>
    <w:rsid w:val="006F0120"/>
    <w:rsid w:val="00A95A9A"/>
    <w:rsid w:val="00CF1EBA"/>
    <w:rsid w:val="00ED6736"/>
    <w:rsid w:val="02AE7397"/>
    <w:rsid w:val="0A1F7B28"/>
    <w:rsid w:val="141476FE"/>
    <w:rsid w:val="16661FBB"/>
    <w:rsid w:val="18F25DD8"/>
    <w:rsid w:val="1D2B4F43"/>
    <w:rsid w:val="2040567B"/>
    <w:rsid w:val="2B141BDE"/>
    <w:rsid w:val="2B45623B"/>
    <w:rsid w:val="2C3A38C6"/>
    <w:rsid w:val="381A48CD"/>
    <w:rsid w:val="3B457B92"/>
    <w:rsid w:val="3BB014AF"/>
    <w:rsid w:val="505A2DD6"/>
    <w:rsid w:val="51E732F9"/>
    <w:rsid w:val="52CD6993"/>
    <w:rsid w:val="54271A15"/>
    <w:rsid w:val="56505911"/>
    <w:rsid w:val="582C5F09"/>
    <w:rsid w:val="58847AF3"/>
    <w:rsid w:val="58C919AA"/>
    <w:rsid w:val="5BC75919"/>
    <w:rsid w:val="5C5872CD"/>
    <w:rsid w:val="63643DD2"/>
    <w:rsid w:val="63914508"/>
    <w:rsid w:val="69012A9A"/>
    <w:rsid w:val="6FA523D2"/>
    <w:rsid w:val="7B0A3A31"/>
    <w:rsid w:val="7BC24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Keyboard" w:qFormat="1"/>
    <w:lsdException w:name="HTML Sample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5">
    <w:name w:val="Strong"/>
    <w:basedOn w:val="a0"/>
    <w:qFormat/>
    <w:rPr>
      <w:b/>
      <w:bCs/>
    </w:rPr>
  </w:style>
  <w:style w:type="character" w:styleId="a6">
    <w:name w:val="FollowedHyperlink"/>
    <w:basedOn w:val="a0"/>
    <w:rPr>
      <w:color w:val="222222"/>
      <w:u w:val="none"/>
    </w:rPr>
  </w:style>
  <w:style w:type="character" w:styleId="a7">
    <w:name w:val="Emphasis"/>
    <w:basedOn w:val="a0"/>
    <w:qFormat/>
  </w:style>
  <w:style w:type="character" w:styleId="HTML">
    <w:name w:val="HTML Definition"/>
    <w:basedOn w:val="a0"/>
  </w:style>
  <w:style w:type="character" w:styleId="HTML0">
    <w:name w:val="HTML Variable"/>
    <w:basedOn w:val="a0"/>
    <w:qFormat/>
  </w:style>
  <w:style w:type="character" w:styleId="a8">
    <w:name w:val="Hyperlink"/>
    <w:basedOn w:val="a0"/>
    <w:qFormat/>
    <w:rPr>
      <w:color w:val="222222"/>
      <w:u w:val="none"/>
    </w:rPr>
  </w:style>
  <w:style w:type="character" w:styleId="HTML1">
    <w:name w:val="HTML Code"/>
    <w:basedOn w:val="a0"/>
    <w:qFormat/>
    <w:rPr>
      <w:rFonts w:ascii="monospace" w:eastAsia="monospace" w:hAnsi="monospace" w:cs="monospace" w:hint="default"/>
      <w:sz w:val="21"/>
      <w:szCs w:val="21"/>
    </w:rPr>
  </w:style>
  <w:style w:type="character" w:styleId="HTML2">
    <w:name w:val="HTML Cite"/>
    <w:basedOn w:val="a0"/>
    <w:qFormat/>
  </w:style>
  <w:style w:type="character" w:styleId="HTML3">
    <w:name w:val="HTML Keyboard"/>
    <w:basedOn w:val="a0"/>
    <w:qFormat/>
    <w:rPr>
      <w:rFonts w:ascii="monospace" w:eastAsia="monospace" w:hAnsi="monospace" w:cs="monospace" w:hint="default"/>
      <w:sz w:val="21"/>
      <w:szCs w:val="21"/>
    </w:rPr>
  </w:style>
  <w:style w:type="character" w:styleId="HTML4">
    <w:name w:val="HTML Sample"/>
    <w:basedOn w:val="a0"/>
    <w:qFormat/>
    <w:rPr>
      <w:rFonts w:ascii="monospace" w:eastAsia="monospace" w:hAnsi="monospace" w:cs="monospace"/>
      <w:sz w:val="21"/>
      <w:szCs w:val="21"/>
    </w:rPr>
  </w:style>
  <w:style w:type="paragraph" w:customStyle="1" w:styleId="BodyText1I2">
    <w:name w:val="BodyText1I2"/>
    <w:basedOn w:val="BodyTextIndent"/>
    <w:next w:val="BodyText1I"/>
    <w:qFormat/>
    <w:pPr>
      <w:ind w:firstLine="420"/>
    </w:pPr>
  </w:style>
  <w:style w:type="paragraph" w:customStyle="1" w:styleId="BodyTextIndent">
    <w:name w:val="BodyTextIndent"/>
    <w:basedOn w:val="a"/>
    <w:next w:val="NormalIndent"/>
    <w:qFormat/>
    <w:pPr>
      <w:spacing w:after="120"/>
      <w:ind w:leftChars="200" w:left="420"/>
      <w:textAlignment w:val="baseline"/>
    </w:pPr>
  </w:style>
  <w:style w:type="paragraph" w:customStyle="1" w:styleId="NormalIndent">
    <w:name w:val="NormalIndent"/>
    <w:basedOn w:val="a"/>
    <w:qFormat/>
    <w:pPr>
      <w:ind w:firstLineChars="200" w:firstLine="420"/>
    </w:pPr>
  </w:style>
  <w:style w:type="paragraph" w:customStyle="1" w:styleId="BodyText1I">
    <w:name w:val="BodyText1I"/>
    <w:basedOn w:val="BodyText"/>
    <w:qFormat/>
    <w:pPr>
      <w:ind w:firstLineChars="100" w:firstLine="420"/>
    </w:pPr>
  </w:style>
  <w:style w:type="paragraph" w:customStyle="1" w:styleId="BodyText">
    <w:name w:val="BodyText"/>
    <w:basedOn w:val="a"/>
    <w:next w:val="a"/>
    <w:qFormat/>
    <w:pPr>
      <w:spacing w:after="120"/>
      <w:textAlignment w:val="baseline"/>
    </w:pPr>
  </w:style>
  <w:style w:type="paragraph" w:styleId="a9">
    <w:name w:val="header"/>
    <w:basedOn w:val="a"/>
    <w:link w:val="Char"/>
    <w:rsid w:val="00CF1E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rsid w:val="00CF1EBA"/>
    <w:rPr>
      <w:rFonts w:ascii="Calibri" w:hAnsi="Calibri"/>
      <w:kern w:val="2"/>
      <w:sz w:val="18"/>
      <w:szCs w:val="18"/>
    </w:rPr>
  </w:style>
  <w:style w:type="paragraph" w:styleId="aa">
    <w:name w:val="footer"/>
    <w:basedOn w:val="a"/>
    <w:link w:val="Char0"/>
    <w:rsid w:val="00CF1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a"/>
    <w:rsid w:val="00CF1EBA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Keyboard" w:qFormat="1"/>
    <w:lsdException w:name="HTML Sample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5">
    <w:name w:val="Strong"/>
    <w:basedOn w:val="a0"/>
    <w:qFormat/>
    <w:rPr>
      <w:b/>
      <w:bCs/>
    </w:rPr>
  </w:style>
  <w:style w:type="character" w:styleId="a6">
    <w:name w:val="FollowedHyperlink"/>
    <w:basedOn w:val="a0"/>
    <w:rPr>
      <w:color w:val="222222"/>
      <w:u w:val="none"/>
    </w:rPr>
  </w:style>
  <w:style w:type="character" w:styleId="a7">
    <w:name w:val="Emphasis"/>
    <w:basedOn w:val="a0"/>
    <w:qFormat/>
  </w:style>
  <w:style w:type="character" w:styleId="HTML">
    <w:name w:val="HTML Definition"/>
    <w:basedOn w:val="a0"/>
  </w:style>
  <w:style w:type="character" w:styleId="HTML0">
    <w:name w:val="HTML Variable"/>
    <w:basedOn w:val="a0"/>
    <w:qFormat/>
  </w:style>
  <w:style w:type="character" w:styleId="a8">
    <w:name w:val="Hyperlink"/>
    <w:basedOn w:val="a0"/>
    <w:qFormat/>
    <w:rPr>
      <w:color w:val="222222"/>
      <w:u w:val="none"/>
    </w:rPr>
  </w:style>
  <w:style w:type="character" w:styleId="HTML1">
    <w:name w:val="HTML Code"/>
    <w:basedOn w:val="a0"/>
    <w:qFormat/>
    <w:rPr>
      <w:rFonts w:ascii="monospace" w:eastAsia="monospace" w:hAnsi="monospace" w:cs="monospace" w:hint="default"/>
      <w:sz w:val="21"/>
      <w:szCs w:val="21"/>
    </w:rPr>
  </w:style>
  <w:style w:type="character" w:styleId="HTML2">
    <w:name w:val="HTML Cite"/>
    <w:basedOn w:val="a0"/>
    <w:qFormat/>
  </w:style>
  <w:style w:type="character" w:styleId="HTML3">
    <w:name w:val="HTML Keyboard"/>
    <w:basedOn w:val="a0"/>
    <w:qFormat/>
    <w:rPr>
      <w:rFonts w:ascii="monospace" w:eastAsia="monospace" w:hAnsi="monospace" w:cs="monospace" w:hint="default"/>
      <w:sz w:val="21"/>
      <w:szCs w:val="21"/>
    </w:rPr>
  </w:style>
  <w:style w:type="character" w:styleId="HTML4">
    <w:name w:val="HTML Sample"/>
    <w:basedOn w:val="a0"/>
    <w:qFormat/>
    <w:rPr>
      <w:rFonts w:ascii="monospace" w:eastAsia="monospace" w:hAnsi="monospace" w:cs="monospace"/>
      <w:sz w:val="21"/>
      <w:szCs w:val="21"/>
    </w:rPr>
  </w:style>
  <w:style w:type="paragraph" w:customStyle="1" w:styleId="BodyText1I2">
    <w:name w:val="BodyText1I2"/>
    <w:basedOn w:val="BodyTextIndent"/>
    <w:next w:val="BodyText1I"/>
    <w:qFormat/>
    <w:pPr>
      <w:ind w:firstLine="420"/>
    </w:pPr>
  </w:style>
  <w:style w:type="paragraph" w:customStyle="1" w:styleId="BodyTextIndent">
    <w:name w:val="BodyTextIndent"/>
    <w:basedOn w:val="a"/>
    <w:next w:val="NormalIndent"/>
    <w:qFormat/>
    <w:pPr>
      <w:spacing w:after="120"/>
      <w:ind w:leftChars="200" w:left="420"/>
      <w:textAlignment w:val="baseline"/>
    </w:pPr>
  </w:style>
  <w:style w:type="paragraph" w:customStyle="1" w:styleId="NormalIndent">
    <w:name w:val="NormalIndent"/>
    <w:basedOn w:val="a"/>
    <w:qFormat/>
    <w:pPr>
      <w:ind w:firstLineChars="200" w:firstLine="420"/>
    </w:pPr>
  </w:style>
  <w:style w:type="paragraph" w:customStyle="1" w:styleId="BodyText1I">
    <w:name w:val="BodyText1I"/>
    <w:basedOn w:val="BodyText"/>
    <w:qFormat/>
    <w:pPr>
      <w:ind w:firstLineChars="100" w:firstLine="420"/>
    </w:pPr>
  </w:style>
  <w:style w:type="paragraph" w:customStyle="1" w:styleId="BodyText">
    <w:name w:val="BodyText"/>
    <w:basedOn w:val="a"/>
    <w:next w:val="a"/>
    <w:qFormat/>
    <w:pPr>
      <w:spacing w:after="120"/>
      <w:textAlignment w:val="baseline"/>
    </w:pPr>
  </w:style>
  <w:style w:type="paragraph" w:styleId="a9">
    <w:name w:val="header"/>
    <w:basedOn w:val="a"/>
    <w:link w:val="Char"/>
    <w:rsid w:val="00CF1E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rsid w:val="00CF1EBA"/>
    <w:rPr>
      <w:rFonts w:ascii="Calibri" w:hAnsi="Calibri"/>
      <w:kern w:val="2"/>
      <w:sz w:val="18"/>
      <w:szCs w:val="18"/>
    </w:rPr>
  </w:style>
  <w:style w:type="paragraph" w:styleId="aa">
    <w:name w:val="footer"/>
    <w:basedOn w:val="a"/>
    <w:link w:val="Char0"/>
    <w:rsid w:val="00CF1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a"/>
    <w:rsid w:val="00CF1EB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242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</cp:revision>
  <dcterms:created xsi:type="dcterms:W3CDTF">2025-08-22T02:51:00Z</dcterms:created>
  <dcterms:modified xsi:type="dcterms:W3CDTF">2025-10-15T07:45:00Z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eyJoZGlkIjoiMzRhMTZjMzA3MzZhMDQ1M2ZiZmNmN2E3NDk3MGU0MzgiLCJ1c2VySWQiOiI2NTUzMzM0MDEifQ==</vt:lpwstr>
  </property>
  <property fmtid="{D5CDD505-2E9C-101B-9397-08002B2CF9AE}" pid="4" name="ICV">
    <vt:lpwstr>E6C56F60AF7942B584ED5465EEAFAADA_13</vt:lpwstr>
  </property>
</Properties>
</file>